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47E" w:rsidRDefault="0052547E" w:rsidP="0052547E">
      <w:pPr>
        <w:spacing w:line="480" w:lineRule="auto"/>
        <w:jc w:val="cente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p>
    <w:p w:rsidR="0080412D" w:rsidRDefault="0052547E" w:rsidP="0052547E">
      <w:pPr>
        <w:spacing w:line="480" w:lineRule="auto"/>
        <w:jc w:val="center"/>
        <w:rPr>
          <w:rFonts w:ascii="Times New Roman" w:hAnsi="Times New Roman" w:cs="Times New Roman"/>
          <w:sz w:val="24"/>
          <w:szCs w:val="24"/>
        </w:rPr>
      </w:pPr>
      <w:r>
        <w:rPr>
          <w:rFonts w:ascii="Times New Roman" w:hAnsi="Times New Roman" w:cs="Times New Roman"/>
          <w:sz w:val="24"/>
          <w:szCs w:val="24"/>
        </w:rPr>
        <w:t>Lifespan and Risk for Chronic Illnesses</w:t>
      </w:r>
    </w:p>
    <w:p w:rsidR="0052547E" w:rsidRDefault="0052547E" w:rsidP="0052547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547E" w:rsidRDefault="0052547E" w:rsidP="0052547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2547E" w:rsidRPr="0052547E" w:rsidRDefault="0052547E" w:rsidP="0052547E">
      <w:pPr>
        <w:rPr>
          <w:rFonts w:ascii="Times New Roman" w:hAnsi="Times New Roman" w:cs="Times New Roman"/>
          <w:sz w:val="24"/>
          <w:szCs w:val="24"/>
        </w:rPr>
      </w:pPr>
    </w:p>
    <w:p w:rsidR="0052547E" w:rsidRPr="0052547E" w:rsidRDefault="0052547E" w:rsidP="0052547E">
      <w:pPr>
        <w:rPr>
          <w:rFonts w:ascii="Times New Roman" w:hAnsi="Times New Roman" w:cs="Times New Roman"/>
          <w:sz w:val="24"/>
          <w:szCs w:val="24"/>
        </w:rPr>
      </w:pPr>
    </w:p>
    <w:p w:rsidR="0052547E" w:rsidRPr="0052547E" w:rsidRDefault="0052547E" w:rsidP="0052547E">
      <w:pPr>
        <w:rPr>
          <w:rFonts w:ascii="Times New Roman" w:hAnsi="Times New Roman" w:cs="Times New Roman"/>
          <w:sz w:val="24"/>
          <w:szCs w:val="24"/>
        </w:rPr>
      </w:pPr>
    </w:p>
    <w:p w:rsidR="0052547E" w:rsidRPr="0052547E" w:rsidRDefault="0052547E" w:rsidP="0052547E">
      <w:pPr>
        <w:rPr>
          <w:rFonts w:ascii="Times New Roman" w:hAnsi="Times New Roman" w:cs="Times New Roman"/>
          <w:sz w:val="24"/>
          <w:szCs w:val="24"/>
        </w:rPr>
      </w:pPr>
    </w:p>
    <w:p w:rsidR="0052547E" w:rsidRDefault="0052547E" w:rsidP="0052547E">
      <w:pPr>
        <w:rPr>
          <w:rFonts w:ascii="Times New Roman" w:hAnsi="Times New Roman" w:cs="Times New Roman"/>
          <w:sz w:val="24"/>
          <w:szCs w:val="24"/>
        </w:rPr>
      </w:pPr>
    </w:p>
    <w:p w:rsidR="0052547E" w:rsidRDefault="0052547E" w:rsidP="0052547E">
      <w:pPr>
        <w:rPr>
          <w:rFonts w:ascii="Times New Roman" w:hAnsi="Times New Roman" w:cs="Times New Roman"/>
          <w:sz w:val="24"/>
          <w:szCs w:val="24"/>
        </w:rPr>
      </w:pPr>
    </w:p>
    <w:p w:rsidR="0052547E" w:rsidRDefault="0052547E" w:rsidP="0052547E">
      <w:pPr>
        <w:rPr>
          <w:rFonts w:ascii="Times New Roman" w:hAnsi="Times New Roman" w:cs="Times New Roman"/>
          <w:sz w:val="24"/>
          <w:szCs w:val="24"/>
        </w:rPr>
      </w:pPr>
    </w:p>
    <w:p w:rsidR="0052547E" w:rsidRDefault="0052547E" w:rsidP="005254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Lifespan and Risks for Chronic Illnesses</w:t>
      </w:r>
    </w:p>
    <w:p w:rsidR="00715FBB" w:rsidRPr="00715FBB" w:rsidRDefault="00C85F97" w:rsidP="00715FBB">
      <w:pPr>
        <w:spacing w:line="480" w:lineRule="auto"/>
        <w:rPr>
          <w:rFonts w:ascii="Times New Roman" w:hAnsi="Times New Roman" w:cs="Times New Roman"/>
          <w:sz w:val="24"/>
          <w:szCs w:val="24"/>
        </w:rPr>
      </w:pPr>
      <w:r>
        <w:rPr>
          <w:rFonts w:ascii="Times New Roman" w:hAnsi="Times New Roman" w:cs="Times New Roman"/>
          <w:sz w:val="24"/>
          <w:szCs w:val="24"/>
        </w:rPr>
        <w:tab/>
      </w:r>
      <w:r w:rsidR="00453065">
        <w:rPr>
          <w:rFonts w:ascii="Times New Roman" w:hAnsi="Times New Roman" w:cs="Times New Roman"/>
          <w:sz w:val="24"/>
          <w:szCs w:val="24"/>
        </w:rPr>
        <w:t xml:space="preserve"> </w:t>
      </w:r>
      <w:r w:rsidR="00715FBB" w:rsidRPr="00715FBB">
        <w:rPr>
          <w:rFonts w:ascii="Times New Roman" w:hAnsi="Times New Roman" w:cs="Times New Roman"/>
          <w:sz w:val="24"/>
          <w:szCs w:val="24"/>
        </w:rPr>
        <w:t xml:space="preserve">From a nutritional standpoint, chronic illnesses such as obesity, diabetes type 2, cancer, and cardiovascular diseases can be mitigated by practicing healthy dieting. Obesity and diabetes type 2 can be prevented by reducing calorie intake derived from fat and sugars. In this regard, risks persons should avoid food high in and sweetened drinks to avoid gaining excess weight as well as increased sugar levels in the body. Cardiovascular diseases can be avoided by reducing the consumption of saturated and Trans fats (World Health Organization, 2019). However, persons should increase the intake of polyunsaturated fats, vegetables, and fruits. Besides, the reduction of salt intake is instrumental in maintaining a healthy lifestyle. Again, cancer is a life-threatening disease that can be mitigated by increasing the number of fruits and vegetables in the diet to reduce vulnerability to the same.  </w:t>
      </w:r>
    </w:p>
    <w:p w:rsidR="00715FBB" w:rsidRPr="00715FBB" w:rsidRDefault="00715FBB" w:rsidP="00715FBB">
      <w:pPr>
        <w:spacing w:line="480" w:lineRule="auto"/>
        <w:rPr>
          <w:rFonts w:ascii="Times New Roman" w:hAnsi="Times New Roman" w:cs="Times New Roman"/>
          <w:sz w:val="24"/>
          <w:szCs w:val="24"/>
        </w:rPr>
      </w:pPr>
      <w:r w:rsidRPr="00715FBB">
        <w:rPr>
          <w:rFonts w:ascii="Times New Roman" w:hAnsi="Times New Roman" w:cs="Times New Roman"/>
          <w:sz w:val="24"/>
          <w:szCs w:val="24"/>
        </w:rPr>
        <w:t xml:space="preserve">    </w:t>
      </w:r>
      <w:r>
        <w:rPr>
          <w:rFonts w:ascii="Times New Roman" w:hAnsi="Times New Roman" w:cs="Times New Roman"/>
          <w:sz w:val="24"/>
          <w:szCs w:val="24"/>
        </w:rPr>
        <w:tab/>
      </w:r>
      <w:r w:rsidRPr="00715FBB">
        <w:rPr>
          <w:rFonts w:ascii="Times New Roman" w:hAnsi="Times New Roman" w:cs="Times New Roman"/>
          <w:sz w:val="24"/>
          <w:szCs w:val="24"/>
        </w:rPr>
        <w:t xml:space="preserve">Persons that have been diagnosed with chronic diseases can practice healthy lifestyle accompanied by physical activity. Prolonged sessions of physical activity reduce abdominal fat that reduces insulin resistance among diabetes type 2 patients (Sami et al., 2017). Also, physical activity muscular blood flow; therefore, helps in the management of hypertension and obesity. Most importantly, persons diagnosed with diabetes type 2, cardiovascular diseases, and obesity can reduce their sugar and fat intake. In this regard, the frequency of consumption of carbonated drinks should be minimized since empirical evidence shows that there is a positive correlation between the latter and increase in blood sugar levels (Sami et al., 2017). The effectiveness of fruits and vegetables in the management of chronic diseases cannot be disregarded since they have vital nutrients, phytochemicals, and dietary fiber (Boeing et al., 2012). Persons with chronic illnesses such as atherosclerosis can increase their vegetable and fruit consumption since they contain non-nutritive food contents that help reduce health risks. Arguably, increased intake of </w:t>
      </w:r>
      <w:r w:rsidRPr="00715FBB">
        <w:rPr>
          <w:rFonts w:ascii="Times New Roman" w:hAnsi="Times New Roman" w:cs="Times New Roman"/>
          <w:sz w:val="24"/>
          <w:szCs w:val="24"/>
        </w:rPr>
        <w:lastRenderedPageBreak/>
        <w:t xml:space="preserve">fruits and vegetables helps in the reduction of weight among obese patients. Increased physical activity is recommendable for persons low bone mineral density to stimulate the strengthening (NYU </w:t>
      </w:r>
      <w:proofErr w:type="spellStart"/>
      <w:r w:rsidRPr="00715FBB">
        <w:rPr>
          <w:rFonts w:ascii="Times New Roman" w:hAnsi="Times New Roman" w:cs="Times New Roman"/>
          <w:sz w:val="24"/>
          <w:szCs w:val="24"/>
        </w:rPr>
        <w:t>Langone</w:t>
      </w:r>
      <w:proofErr w:type="spellEnd"/>
      <w:r w:rsidRPr="00715FBB">
        <w:rPr>
          <w:rFonts w:ascii="Times New Roman" w:hAnsi="Times New Roman" w:cs="Times New Roman"/>
          <w:sz w:val="24"/>
          <w:szCs w:val="24"/>
        </w:rPr>
        <w:t xml:space="preserve"> Health, 2019). Arteriosclerosis patients and persons with low bone mineral density can increase their intake calcium, which crucial in the enhancement of weak bones.  </w:t>
      </w:r>
    </w:p>
    <w:p w:rsidR="00291264" w:rsidRDefault="00715FBB" w:rsidP="00715FBB">
      <w:pPr>
        <w:spacing w:line="480" w:lineRule="auto"/>
        <w:rPr>
          <w:rFonts w:ascii="Times New Roman" w:hAnsi="Times New Roman" w:cs="Times New Roman"/>
          <w:sz w:val="24"/>
          <w:szCs w:val="24"/>
        </w:rPr>
      </w:pPr>
      <w:r w:rsidRPr="00715FBB">
        <w:rPr>
          <w:rFonts w:ascii="Times New Roman" w:hAnsi="Times New Roman" w:cs="Times New Roman"/>
          <w:sz w:val="24"/>
          <w:szCs w:val="24"/>
        </w:rPr>
        <w:t xml:space="preserve">    </w:t>
      </w:r>
      <w:r>
        <w:rPr>
          <w:rFonts w:ascii="Times New Roman" w:hAnsi="Times New Roman" w:cs="Times New Roman"/>
          <w:sz w:val="24"/>
          <w:szCs w:val="24"/>
        </w:rPr>
        <w:tab/>
      </w:r>
      <w:bookmarkStart w:id="0" w:name="_GoBack"/>
      <w:bookmarkEnd w:id="0"/>
      <w:r w:rsidRPr="00715FBB">
        <w:rPr>
          <w:rFonts w:ascii="Times New Roman" w:hAnsi="Times New Roman" w:cs="Times New Roman"/>
          <w:sz w:val="24"/>
          <w:szCs w:val="24"/>
        </w:rPr>
        <w:t>Diabetes type 2 is a nutrition-related that can be managed when clinical intervention is administered to the patient appropriately. Elderly persons should practice healthy diet since they are less active and more vulnerable to diabetes type III than their young counterparts. They have low cardiorespiratory fitness and muscle strength (</w:t>
      </w:r>
      <w:proofErr w:type="spellStart"/>
      <w:r w:rsidRPr="00715FBB">
        <w:rPr>
          <w:rFonts w:ascii="Times New Roman" w:hAnsi="Times New Roman" w:cs="Times New Roman"/>
          <w:sz w:val="24"/>
          <w:szCs w:val="24"/>
        </w:rPr>
        <w:t>Hamasaki</w:t>
      </w:r>
      <w:proofErr w:type="spellEnd"/>
      <w:r w:rsidRPr="00715FBB">
        <w:rPr>
          <w:rFonts w:ascii="Times New Roman" w:hAnsi="Times New Roman" w:cs="Times New Roman"/>
          <w:sz w:val="24"/>
          <w:szCs w:val="24"/>
        </w:rPr>
        <w:t>, 2016). Biological pathways that facilitate physical activity at old age are significantly reduced; consequently, insulin sensitivity diminishes. Empirical evidence provided by Health and Human Services shows that physical activity substantially enhances abnormal glucose tolerance among elderly persons (Sami et al., 2017). Insulin resistance is as a result of physical inactivity that causes less insulin to circulate in the blood of Diabetes type 2 patients. The progression of Diabetes Type 2 can be reduced with increased physical interventions.  Physical therapy is recommended to elderly persons with diabetes type 2 since it improves cardiorespiratory fitness to increase glucose breakdown (</w:t>
      </w:r>
      <w:proofErr w:type="spellStart"/>
      <w:r w:rsidRPr="00715FBB">
        <w:rPr>
          <w:rFonts w:ascii="Times New Roman" w:hAnsi="Times New Roman" w:cs="Times New Roman"/>
          <w:sz w:val="24"/>
          <w:szCs w:val="24"/>
        </w:rPr>
        <w:t>Hamasaki</w:t>
      </w:r>
      <w:proofErr w:type="spellEnd"/>
      <w:r w:rsidRPr="00715FBB">
        <w:rPr>
          <w:rFonts w:ascii="Times New Roman" w:hAnsi="Times New Roman" w:cs="Times New Roman"/>
          <w:sz w:val="24"/>
          <w:szCs w:val="24"/>
        </w:rPr>
        <w:t xml:space="preserve">, 2016). The mechanisms of physical activity help the patients react well to insulin treatment (Sami et al., 2017). The physical activity carried out for recommended timelines increases muscular activity; therefore, increasing glucose uptake into the cells of the elderly patients. Lastly, intra-abdominal fat is considerably reduced with consistent exercise, and the result is a reduction in insulin resistance among the elderly.    </w:t>
      </w:r>
    </w:p>
    <w:p w:rsidR="001605BB" w:rsidRDefault="001605BB" w:rsidP="00C85F97">
      <w:pPr>
        <w:spacing w:line="480" w:lineRule="auto"/>
        <w:rPr>
          <w:rFonts w:ascii="Times New Roman" w:hAnsi="Times New Roman" w:cs="Times New Roman"/>
          <w:sz w:val="24"/>
          <w:szCs w:val="24"/>
        </w:rPr>
      </w:pPr>
    </w:p>
    <w:p w:rsidR="001605BB" w:rsidRDefault="001605BB" w:rsidP="00C85F97">
      <w:pPr>
        <w:spacing w:line="480" w:lineRule="auto"/>
        <w:rPr>
          <w:rFonts w:ascii="Times New Roman" w:hAnsi="Times New Roman" w:cs="Times New Roman"/>
          <w:sz w:val="24"/>
          <w:szCs w:val="24"/>
        </w:rPr>
      </w:pPr>
    </w:p>
    <w:p w:rsidR="001605BB" w:rsidRDefault="001605BB" w:rsidP="001605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605BB" w:rsidRDefault="001605BB" w:rsidP="001605B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Boeing, H., </w:t>
      </w:r>
      <w:proofErr w:type="spellStart"/>
      <w:r>
        <w:rPr>
          <w:rFonts w:ascii="Times New Roman" w:hAnsi="Times New Roman" w:cs="Times New Roman"/>
          <w:sz w:val="24"/>
          <w:szCs w:val="24"/>
        </w:rPr>
        <w:t>Be</w:t>
      </w:r>
      <w:r w:rsidR="00063741">
        <w:rPr>
          <w:rFonts w:ascii="Times New Roman" w:hAnsi="Times New Roman" w:cs="Times New Roman"/>
          <w:sz w:val="24"/>
          <w:szCs w:val="24"/>
        </w:rPr>
        <w:t>chthold</w:t>
      </w:r>
      <w:proofErr w:type="spellEnd"/>
      <w:r w:rsidR="00063741">
        <w:rPr>
          <w:rFonts w:ascii="Times New Roman" w:hAnsi="Times New Roman" w:cs="Times New Roman"/>
          <w:sz w:val="24"/>
          <w:szCs w:val="24"/>
        </w:rPr>
        <w:t xml:space="preserve">, A., Bub, A., </w:t>
      </w:r>
      <w:proofErr w:type="spellStart"/>
      <w:r w:rsidR="00063741">
        <w:rPr>
          <w:rFonts w:ascii="Times New Roman" w:hAnsi="Times New Roman" w:cs="Times New Roman"/>
          <w:sz w:val="24"/>
          <w:szCs w:val="24"/>
        </w:rPr>
        <w:t>Ellinger</w:t>
      </w:r>
      <w:proofErr w:type="spellEnd"/>
      <w:r w:rsidR="00063741">
        <w:rPr>
          <w:rFonts w:ascii="Times New Roman" w:hAnsi="Times New Roman" w:cs="Times New Roman"/>
          <w:sz w:val="24"/>
          <w:szCs w:val="24"/>
        </w:rPr>
        <w:t xml:space="preserve">, S., Haller, D., </w:t>
      </w:r>
      <w:proofErr w:type="spellStart"/>
      <w:r w:rsidR="00063741">
        <w:rPr>
          <w:rFonts w:ascii="Times New Roman" w:hAnsi="Times New Roman" w:cs="Times New Roman"/>
          <w:sz w:val="24"/>
          <w:szCs w:val="24"/>
        </w:rPr>
        <w:t>Kroke</w:t>
      </w:r>
      <w:proofErr w:type="spellEnd"/>
      <w:r w:rsidR="00063741">
        <w:rPr>
          <w:rFonts w:ascii="Times New Roman" w:hAnsi="Times New Roman" w:cs="Times New Roman"/>
          <w:sz w:val="24"/>
          <w:szCs w:val="24"/>
        </w:rPr>
        <w:t>, A….</w:t>
      </w:r>
      <w:proofErr w:type="spellStart"/>
      <w:r w:rsidR="00063741">
        <w:rPr>
          <w:rFonts w:ascii="Times New Roman" w:hAnsi="Times New Roman" w:cs="Times New Roman"/>
          <w:sz w:val="24"/>
          <w:szCs w:val="24"/>
        </w:rPr>
        <w:t>Watzl</w:t>
      </w:r>
      <w:proofErr w:type="spellEnd"/>
      <w:r w:rsidR="00063741">
        <w:rPr>
          <w:rFonts w:ascii="Times New Roman" w:hAnsi="Times New Roman" w:cs="Times New Roman"/>
          <w:sz w:val="24"/>
          <w:szCs w:val="24"/>
        </w:rPr>
        <w:t>, B. (2012).</w:t>
      </w:r>
      <w:proofErr w:type="gramEnd"/>
      <w:r w:rsidR="00063741">
        <w:rPr>
          <w:rFonts w:ascii="Times New Roman" w:hAnsi="Times New Roman" w:cs="Times New Roman"/>
          <w:sz w:val="24"/>
          <w:szCs w:val="24"/>
        </w:rPr>
        <w:t xml:space="preserve"> </w:t>
      </w:r>
    </w:p>
    <w:p w:rsidR="00063741" w:rsidRPr="00063741" w:rsidRDefault="00063741" w:rsidP="001605BB">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Critical review: Vegetables and fruit in the prevention of chronic diseases. </w:t>
      </w:r>
      <w:r w:rsidRPr="00063741">
        <w:rPr>
          <w:rFonts w:ascii="Times New Roman" w:hAnsi="Times New Roman" w:cs="Times New Roman"/>
          <w:i/>
          <w:sz w:val="24"/>
          <w:szCs w:val="24"/>
        </w:rPr>
        <w:t>European</w:t>
      </w:r>
    </w:p>
    <w:p w:rsidR="00063741" w:rsidRDefault="00063741" w:rsidP="001605BB">
      <w:pPr>
        <w:spacing w:line="480" w:lineRule="auto"/>
        <w:rPr>
          <w:rFonts w:ascii="Times New Roman" w:hAnsi="Times New Roman" w:cs="Times New Roman"/>
          <w:sz w:val="24"/>
          <w:szCs w:val="24"/>
        </w:rPr>
      </w:pPr>
      <w:r w:rsidRPr="00063741">
        <w:rPr>
          <w:rFonts w:ascii="Times New Roman" w:hAnsi="Times New Roman" w:cs="Times New Roman"/>
          <w:i/>
          <w:sz w:val="24"/>
          <w:szCs w:val="24"/>
        </w:rPr>
        <w:tab/>
        <w:t>Journal of Nutrition</w:t>
      </w:r>
      <w:r>
        <w:rPr>
          <w:rFonts w:ascii="Times New Roman" w:hAnsi="Times New Roman" w:cs="Times New Roman"/>
          <w:sz w:val="24"/>
          <w:szCs w:val="24"/>
        </w:rPr>
        <w:t>, 51(6), 637-663.</w:t>
      </w:r>
    </w:p>
    <w:p w:rsidR="00063741" w:rsidRDefault="00063741" w:rsidP="001605B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7" w:history="1">
        <w:r w:rsidRPr="00EE5F16">
          <w:rPr>
            <w:rStyle w:val="Hyperlink"/>
            <w:rFonts w:ascii="Times New Roman" w:hAnsi="Times New Roman" w:cs="Times New Roman"/>
            <w:sz w:val="24"/>
            <w:szCs w:val="24"/>
          </w:rPr>
          <w:t>https://dx.doi.org/10.1007%2Fs00394-012-0380-y</w:t>
        </w:r>
      </w:hyperlink>
    </w:p>
    <w:p w:rsidR="001605BB" w:rsidRPr="001605BB" w:rsidRDefault="001605BB" w:rsidP="001605BB">
      <w:pPr>
        <w:spacing w:line="480" w:lineRule="auto"/>
        <w:rPr>
          <w:rFonts w:ascii="Times New Roman" w:hAnsi="Times New Roman" w:cs="Times New Roman"/>
          <w:i/>
          <w:sz w:val="24"/>
          <w:szCs w:val="24"/>
        </w:rPr>
      </w:pPr>
      <w:proofErr w:type="spellStart"/>
      <w:r>
        <w:rPr>
          <w:rFonts w:ascii="Times New Roman" w:hAnsi="Times New Roman" w:cs="Times New Roman"/>
          <w:sz w:val="24"/>
          <w:szCs w:val="24"/>
        </w:rPr>
        <w:t>Hamasaki</w:t>
      </w:r>
      <w:proofErr w:type="spellEnd"/>
      <w:r>
        <w:rPr>
          <w:rFonts w:ascii="Times New Roman" w:hAnsi="Times New Roman" w:cs="Times New Roman"/>
          <w:sz w:val="24"/>
          <w:szCs w:val="24"/>
        </w:rPr>
        <w:t xml:space="preserve">, H. (2016). Daily physical activity and type 2 diabetes: A review. </w:t>
      </w:r>
      <w:r w:rsidRPr="001605BB">
        <w:rPr>
          <w:rFonts w:ascii="Times New Roman" w:hAnsi="Times New Roman" w:cs="Times New Roman"/>
          <w:i/>
          <w:sz w:val="24"/>
          <w:szCs w:val="24"/>
        </w:rPr>
        <w:t xml:space="preserve">World Journal of </w:t>
      </w:r>
    </w:p>
    <w:p w:rsidR="001605BB" w:rsidRDefault="001605BB" w:rsidP="001605BB">
      <w:pPr>
        <w:spacing w:line="480" w:lineRule="auto"/>
        <w:rPr>
          <w:rFonts w:ascii="Times New Roman" w:hAnsi="Times New Roman" w:cs="Times New Roman"/>
          <w:sz w:val="24"/>
          <w:szCs w:val="24"/>
        </w:rPr>
      </w:pPr>
      <w:r w:rsidRPr="001605BB">
        <w:rPr>
          <w:rFonts w:ascii="Times New Roman" w:hAnsi="Times New Roman" w:cs="Times New Roman"/>
          <w:i/>
          <w:sz w:val="24"/>
          <w:szCs w:val="24"/>
        </w:rPr>
        <w:tab/>
      </w:r>
      <w:proofErr w:type="gramStart"/>
      <w:r w:rsidRPr="001605BB">
        <w:rPr>
          <w:rFonts w:ascii="Times New Roman" w:hAnsi="Times New Roman" w:cs="Times New Roman"/>
          <w:i/>
          <w:sz w:val="24"/>
          <w:szCs w:val="24"/>
        </w:rPr>
        <w:t>Diabetes</w:t>
      </w:r>
      <w:r>
        <w:rPr>
          <w:rFonts w:ascii="Times New Roman" w:hAnsi="Times New Roman" w:cs="Times New Roman"/>
          <w:sz w:val="24"/>
          <w:szCs w:val="24"/>
        </w:rPr>
        <w:t>.</w:t>
      </w:r>
      <w:proofErr w:type="gramEnd"/>
      <w:r>
        <w:rPr>
          <w:rFonts w:ascii="Times New Roman" w:hAnsi="Times New Roman" w:cs="Times New Roman"/>
          <w:sz w:val="24"/>
          <w:szCs w:val="24"/>
        </w:rPr>
        <w:t xml:space="preserve"> 7(12), 243-251.</w:t>
      </w:r>
    </w:p>
    <w:p w:rsidR="001605BB" w:rsidRDefault="001605BB" w:rsidP="001605B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8" w:history="1">
        <w:r w:rsidRPr="00EE5F16">
          <w:rPr>
            <w:rStyle w:val="Hyperlink"/>
            <w:rFonts w:ascii="Times New Roman" w:hAnsi="Times New Roman" w:cs="Times New Roman"/>
            <w:sz w:val="24"/>
            <w:szCs w:val="24"/>
          </w:rPr>
          <w:t>https://dx.doi.org/10.4239%2Fwjd.v7.i12.243</w:t>
        </w:r>
      </w:hyperlink>
    </w:p>
    <w:p w:rsidR="001605BB" w:rsidRDefault="001605BB" w:rsidP="001605B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NYU </w:t>
      </w:r>
      <w:proofErr w:type="spellStart"/>
      <w:r>
        <w:rPr>
          <w:rFonts w:ascii="Times New Roman" w:hAnsi="Times New Roman" w:cs="Times New Roman"/>
          <w:sz w:val="24"/>
          <w:szCs w:val="24"/>
        </w:rPr>
        <w:t>Langone</w:t>
      </w:r>
      <w:proofErr w:type="spellEnd"/>
      <w:r>
        <w:rPr>
          <w:rFonts w:ascii="Times New Roman" w:hAnsi="Times New Roman" w:cs="Times New Roman"/>
          <w:sz w:val="24"/>
          <w:szCs w:val="24"/>
        </w:rPr>
        <w:t xml:space="preserve"> Health.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(2019). Lifestyle changes for osteoporosis and low bone mass.</w:t>
      </w:r>
      <w:proofErr w:type="gramEnd"/>
      <w:r>
        <w:rPr>
          <w:rFonts w:ascii="Times New Roman" w:hAnsi="Times New Roman" w:cs="Times New Roman"/>
          <w:sz w:val="24"/>
          <w:szCs w:val="24"/>
        </w:rPr>
        <w:t xml:space="preserve"> Retrieved</w:t>
      </w:r>
    </w:p>
    <w:p w:rsidR="001605BB" w:rsidRDefault="001605BB" w:rsidP="001605B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from</w:t>
      </w:r>
      <w:proofErr w:type="gramEnd"/>
    </w:p>
    <w:p w:rsidR="001605BB" w:rsidRDefault="001605BB" w:rsidP="001605BB">
      <w:pPr>
        <w:spacing w:line="480" w:lineRule="auto"/>
        <w:ind w:left="720"/>
        <w:rPr>
          <w:rFonts w:ascii="Times New Roman" w:hAnsi="Times New Roman" w:cs="Times New Roman"/>
          <w:sz w:val="24"/>
          <w:szCs w:val="24"/>
        </w:rPr>
      </w:pPr>
      <w:hyperlink r:id="rId9" w:history="1">
        <w:r w:rsidRPr="00EE5F16">
          <w:rPr>
            <w:rStyle w:val="Hyperlink"/>
            <w:rFonts w:ascii="Times New Roman" w:hAnsi="Times New Roman" w:cs="Times New Roman"/>
            <w:sz w:val="24"/>
            <w:szCs w:val="24"/>
          </w:rPr>
          <w:t>https://nyulangone.org/conditions/osteoporosis-low-bone-mass-in-adults/treatments/lifestyle-changes-for-osteoporosis-low-bone-mass</w:t>
        </w:r>
      </w:hyperlink>
    </w:p>
    <w:p w:rsidR="001605BB" w:rsidRDefault="001605BB" w:rsidP="001605B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Sami, W., Ansari, T., Butt, N. S., &amp; Hamid, M. R. A. (2017).</w:t>
      </w:r>
      <w:proofErr w:type="gramEnd"/>
      <w:r>
        <w:rPr>
          <w:rFonts w:ascii="Times New Roman" w:hAnsi="Times New Roman" w:cs="Times New Roman"/>
          <w:sz w:val="24"/>
          <w:szCs w:val="24"/>
        </w:rPr>
        <w:t xml:space="preserve"> Effect of diet on type 2 diabetes </w:t>
      </w:r>
    </w:p>
    <w:p w:rsidR="001605BB" w:rsidRDefault="001605BB" w:rsidP="001605B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Mellitus: A review. </w:t>
      </w:r>
      <w:r w:rsidRPr="001605BB">
        <w:rPr>
          <w:rFonts w:ascii="Times New Roman" w:hAnsi="Times New Roman" w:cs="Times New Roman"/>
          <w:i/>
          <w:sz w:val="24"/>
          <w:szCs w:val="24"/>
        </w:rPr>
        <w:t>International Journal of Health Sciences,</w:t>
      </w:r>
      <w:r>
        <w:rPr>
          <w:rFonts w:ascii="Times New Roman" w:hAnsi="Times New Roman" w:cs="Times New Roman"/>
          <w:sz w:val="24"/>
          <w:szCs w:val="24"/>
        </w:rPr>
        <w:t xml:space="preserve"> 11(2), 65-70.</w:t>
      </w:r>
    </w:p>
    <w:p w:rsidR="00DB78FA" w:rsidRDefault="00DB78FA" w:rsidP="001605B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World Health Organization, 2019.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Global strategy on diet, physical activity, and health.</w:t>
      </w:r>
      <w:proofErr w:type="gramEnd"/>
      <w:r>
        <w:rPr>
          <w:rFonts w:ascii="Times New Roman" w:hAnsi="Times New Roman" w:cs="Times New Roman"/>
          <w:sz w:val="24"/>
          <w:szCs w:val="24"/>
        </w:rPr>
        <w:t xml:space="preserve"> </w:t>
      </w:r>
    </w:p>
    <w:p w:rsidR="00DB78FA" w:rsidRDefault="00DB78FA" w:rsidP="001605BB">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DB78FA" w:rsidRDefault="00DB78FA" w:rsidP="001605B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DB78FA">
          <w:rPr>
            <w:rStyle w:val="Hyperlink"/>
            <w:rFonts w:ascii="Times New Roman" w:hAnsi="Times New Roman" w:cs="Times New Roman"/>
            <w:sz w:val="24"/>
            <w:szCs w:val="24"/>
          </w:rPr>
          <w:t>https://www.who.int/dietphysicalactivity/publications/trs916/summary/en/</w:t>
        </w:r>
      </w:hyperlink>
    </w:p>
    <w:p w:rsidR="001605BB" w:rsidRDefault="001605BB" w:rsidP="001605BB">
      <w:pPr>
        <w:spacing w:line="480" w:lineRule="auto"/>
        <w:rPr>
          <w:rFonts w:ascii="Times New Roman" w:hAnsi="Times New Roman" w:cs="Times New Roman"/>
          <w:sz w:val="24"/>
          <w:szCs w:val="24"/>
        </w:rPr>
      </w:pPr>
    </w:p>
    <w:p w:rsidR="0052547E" w:rsidRDefault="0052547E" w:rsidP="0052547E">
      <w:pPr>
        <w:rPr>
          <w:rFonts w:ascii="Times New Roman" w:hAnsi="Times New Roman" w:cs="Times New Roman"/>
          <w:sz w:val="24"/>
          <w:szCs w:val="24"/>
        </w:rPr>
      </w:pPr>
    </w:p>
    <w:p w:rsidR="0052547E" w:rsidRPr="0052547E" w:rsidRDefault="0052547E" w:rsidP="0052547E">
      <w:pPr>
        <w:rPr>
          <w:rFonts w:ascii="Times New Roman" w:hAnsi="Times New Roman" w:cs="Times New Roman"/>
          <w:sz w:val="24"/>
          <w:szCs w:val="24"/>
        </w:rPr>
      </w:pPr>
    </w:p>
    <w:sectPr w:rsidR="0052547E" w:rsidRPr="0052547E" w:rsidSect="0052547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712" w:rsidRDefault="00A61712" w:rsidP="0052547E">
      <w:pPr>
        <w:spacing w:after="0" w:line="240" w:lineRule="auto"/>
      </w:pPr>
      <w:r>
        <w:separator/>
      </w:r>
    </w:p>
  </w:endnote>
  <w:endnote w:type="continuationSeparator" w:id="0">
    <w:p w:rsidR="00A61712" w:rsidRDefault="00A61712" w:rsidP="00525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712" w:rsidRDefault="00A61712" w:rsidP="0052547E">
      <w:pPr>
        <w:spacing w:after="0" w:line="240" w:lineRule="auto"/>
      </w:pPr>
      <w:r>
        <w:separator/>
      </w:r>
    </w:p>
  </w:footnote>
  <w:footnote w:type="continuationSeparator" w:id="0">
    <w:p w:rsidR="00A61712" w:rsidRDefault="00A61712" w:rsidP="005254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47E" w:rsidRPr="0052547E" w:rsidRDefault="0052547E" w:rsidP="0052547E">
    <w:pPr>
      <w:pStyle w:val="Header"/>
      <w:spacing w:line="480" w:lineRule="auto"/>
      <w:rPr>
        <w:rFonts w:ascii="Times New Roman" w:hAnsi="Times New Roman" w:cs="Times New Roman"/>
        <w:sz w:val="24"/>
        <w:szCs w:val="24"/>
      </w:rPr>
    </w:pPr>
    <w:r w:rsidRPr="0052547E">
      <w:rPr>
        <w:rFonts w:ascii="Times New Roman" w:hAnsi="Times New Roman" w:cs="Times New Roman"/>
        <w:sz w:val="24"/>
        <w:szCs w:val="24"/>
      </w:rPr>
      <w:t>LIFESP</w:t>
    </w:r>
    <w:r>
      <w:rPr>
        <w:rFonts w:ascii="Times New Roman" w:hAnsi="Times New Roman" w:cs="Times New Roman"/>
        <w:sz w:val="24"/>
        <w:szCs w:val="24"/>
      </w:rPr>
      <w:t xml:space="preserve">AN AND RISK FOR CHRONIC ILLNESSES </w:t>
    </w:r>
    <w:r>
      <w:rPr>
        <w:rFonts w:ascii="Times New Roman" w:hAnsi="Times New Roman" w:cs="Times New Roman"/>
        <w:sz w:val="24"/>
        <w:szCs w:val="24"/>
      </w:rPr>
      <w:tab/>
    </w:r>
    <w:r>
      <w:rPr>
        <w:rFonts w:ascii="Times New Roman" w:hAnsi="Times New Roman" w:cs="Times New Roman"/>
        <w:sz w:val="24"/>
        <w:szCs w:val="24"/>
      </w:rPr>
      <w:tab/>
    </w:r>
    <w:r w:rsidRPr="0052547E">
      <w:rPr>
        <w:rFonts w:ascii="Times New Roman" w:hAnsi="Times New Roman" w:cs="Times New Roman"/>
        <w:sz w:val="24"/>
        <w:szCs w:val="24"/>
      </w:rPr>
      <w:t xml:space="preserve"> </w:t>
    </w:r>
    <w:sdt>
      <w:sdtPr>
        <w:rPr>
          <w:rFonts w:ascii="Times New Roman" w:hAnsi="Times New Roman" w:cs="Times New Roman"/>
          <w:sz w:val="24"/>
          <w:szCs w:val="24"/>
        </w:rPr>
        <w:id w:val="334419736"/>
        <w:docPartObj>
          <w:docPartGallery w:val="Page Numbers (Top of Page)"/>
          <w:docPartUnique/>
        </w:docPartObj>
      </w:sdtPr>
      <w:sdtEndPr>
        <w:rPr>
          <w:noProof/>
        </w:rPr>
      </w:sdtEndPr>
      <w:sdtContent>
        <w:r w:rsidRPr="0052547E">
          <w:rPr>
            <w:rFonts w:ascii="Times New Roman" w:hAnsi="Times New Roman" w:cs="Times New Roman"/>
            <w:sz w:val="24"/>
            <w:szCs w:val="24"/>
          </w:rPr>
          <w:fldChar w:fldCharType="begin"/>
        </w:r>
        <w:r w:rsidRPr="0052547E">
          <w:rPr>
            <w:rFonts w:ascii="Times New Roman" w:hAnsi="Times New Roman" w:cs="Times New Roman"/>
            <w:sz w:val="24"/>
            <w:szCs w:val="24"/>
          </w:rPr>
          <w:instrText xml:space="preserve"> PAGE   \* MERGEFORMAT </w:instrText>
        </w:r>
        <w:r w:rsidRPr="0052547E">
          <w:rPr>
            <w:rFonts w:ascii="Times New Roman" w:hAnsi="Times New Roman" w:cs="Times New Roman"/>
            <w:sz w:val="24"/>
            <w:szCs w:val="24"/>
          </w:rPr>
          <w:fldChar w:fldCharType="separate"/>
        </w:r>
        <w:r w:rsidR="00715FBB">
          <w:rPr>
            <w:rFonts w:ascii="Times New Roman" w:hAnsi="Times New Roman" w:cs="Times New Roman"/>
            <w:noProof/>
            <w:sz w:val="24"/>
            <w:szCs w:val="24"/>
          </w:rPr>
          <w:t>4</w:t>
        </w:r>
        <w:r w:rsidRPr="0052547E">
          <w:rPr>
            <w:rFonts w:ascii="Times New Roman" w:hAnsi="Times New Roman" w:cs="Times New Roman"/>
            <w:noProof/>
            <w:sz w:val="24"/>
            <w:szCs w:val="24"/>
          </w:rPr>
          <w:fldChar w:fldCharType="end"/>
        </w:r>
      </w:sdtContent>
    </w:sdt>
  </w:p>
  <w:p w:rsidR="0052547E" w:rsidRDefault="005254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47E" w:rsidRPr="0052547E" w:rsidRDefault="0052547E" w:rsidP="0052547E">
    <w:pPr>
      <w:pStyle w:val="Header"/>
      <w:spacing w:line="480" w:lineRule="auto"/>
      <w:rPr>
        <w:rFonts w:ascii="Times New Roman" w:hAnsi="Times New Roman" w:cs="Times New Roman"/>
        <w:sz w:val="24"/>
        <w:szCs w:val="24"/>
      </w:rPr>
    </w:pPr>
    <w:r w:rsidRPr="0052547E">
      <w:rPr>
        <w:rFonts w:ascii="Times New Roman" w:hAnsi="Times New Roman" w:cs="Times New Roman"/>
        <w:sz w:val="24"/>
        <w:szCs w:val="24"/>
      </w:rPr>
      <w:t>Running head: LIFESPAN AND RISK FOR CHRONIC ILLNESSES</w:t>
    </w:r>
    <w:r>
      <w:rPr>
        <w:rFonts w:ascii="Times New Roman" w:hAnsi="Times New Roman" w:cs="Times New Roman"/>
        <w:sz w:val="24"/>
        <w:szCs w:val="24"/>
      </w:rPr>
      <w:tab/>
    </w:r>
    <w:r>
      <w:rPr>
        <w:rFonts w:ascii="Times New Roman" w:hAnsi="Times New Roman" w:cs="Times New Roman"/>
        <w:sz w:val="24"/>
        <w:szCs w:val="24"/>
      </w:rPr>
      <w:tab/>
    </w:r>
    <w:r w:rsidRPr="0052547E">
      <w:rPr>
        <w:rFonts w:ascii="Times New Roman" w:hAnsi="Times New Roman" w:cs="Times New Roman"/>
        <w:sz w:val="24"/>
        <w:szCs w:val="24"/>
      </w:rPr>
      <w:t xml:space="preserve"> </w:t>
    </w:r>
    <w:sdt>
      <w:sdtPr>
        <w:rPr>
          <w:rFonts w:ascii="Times New Roman" w:hAnsi="Times New Roman" w:cs="Times New Roman"/>
          <w:sz w:val="24"/>
          <w:szCs w:val="24"/>
        </w:rPr>
        <w:id w:val="-1456468955"/>
        <w:docPartObj>
          <w:docPartGallery w:val="Page Numbers (Top of Page)"/>
          <w:docPartUnique/>
        </w:docPartObj>
      </w:sdtPr>
      <w:sdtEndPr>
        <w:rPr>
          <w:noProof/>
        </w:rPr>
      </w:sdtEndPr>
      <w:sdtContent>
        <w:r w:rsidRPr="0052547E">
          <w:rPr>
            <w:rFonts w:ascii="Times New Roman" w:hAnsi="Times New Roman" w:cs="Times New Roman"/>
            <w:sz w:val="24"/>
            <w:szCs w:val="24"/>
          </w:rPr>
          <w:fldChar w:fldCharType="begin"/>
        </w:r>
        <w:r w:rsidRPr="0052547E">
          <w:rPr>
            <w:rFonts w:ascii="Times New Roman" w:hAnsi="Times New Roman" w:cs="Times New Roman"/>
            <w:sz w:val="24"/>
            <w:szCs w:val="24"/>
          </w:rPr>
          <w:instrText xml:space="preserve"> PAGE   \* MERGEFORMAT </w:instrText>
        </w:r>
        <w:r w:rsidRPr="0052547E">
          <w:rPr>
            <w:rFonts w:ascii="Times New Roman" w:hAnsi="Times New Roman" w:cs="Times New Roman"/>
            <w:sz w:val="24"/>
            <w:szCs w:val="24"/>
          </w:rPr>
          <w:fldChar w:fldCharType="separate"/>
        </w:r>
        <w:r w:rsidR="00715FBB">
          <w:rPr>
            <w:rFonts w:ascii="Times New Roman" w:hAnsi="Times New Roman" w:cs="Times New Roman"/>
            <w:noProof/>
            <w:sz w:val="24"/>
            <w:szCs w:val="24"/>
          </w:rPr>
          <w:t>1</w:t>
        </w:r>
        <w:r w:rsidRPr="0052547E">
          <w:rPr>
            <w:rFonts w:ascii="Times New Roman" w:hAnsi="Times New Roman" w:cs="Times New Roman"/>
            <w:noProof/>
            <w:sz w:val="24"/>
            <w:szCs w:val="24"/>
          </w:rPr>
          <w:fldChar w:fldCharType="end"/>
        </w:r>
      </w:sdtContent>
    </w:sdt>
  </w:p>
  <w:p w:rsidR="0052547E" w:rsidRDefault="00525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47E"/>
    <w:rsid w:val="00063741"/>
    <w:rsid w:val="000B6AEA"/>
    <w:rsid w:val="001605BB"/>
    <w:rsid w:val="001D2666"/>
    <w:rsid w:val="00291264"/>
    <w:rsid w:val="00406159"/>
    <w:rsid w:val="00453065"/>
    <w:rsid w:val="0052547E"/>
    <w:rsid w:val="00654B66"/>
    <w:rsid w:val="00715FBB"/>
    <w:rsid w:val="007642C5"/>
    <w:rsid w:val="007953B2"/>
    <w:rsid w:val="009A5DF7"/>
    <w:rsid w:val="00A61712"/>
    <w:rsid w:val="00BB7373"/>
    <w:rsid w:val="00BD4F4E"/>
    <w:rsid w:val="00C85F97"/>
    <w:rsid w:val="00DB7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47E"/>
  </w:style>
  <w:style w:type="paragraph" w:styleId="Footer">
    <w:name w:val="footer"/>
    <w:basedOn w:val="Normal"/>
    <w:link w:val="FooterChar"/>
    <w:uiPriority w:val="99"/>
    <w:unhideWhenUsed/>
    <w:rsid w:val="00525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47E"/>
  </w:style>
  <w:style w:type="character" w:styleId="Hyperlink">
    <w:name w:val="Hyperlink"/>
    <w:basedOn w:val="DefaultParagraphFont"/>
    <w:uiPriority w:val="99"/>
    <w:unhideWhenUsed/>
    <w:rsid w:val="001605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47E"/>
  </w:style>
  <w:style w:type="paragraph" w:styleId="Footer">
    <w:name w:val="footer"/>
    <w:basedOn w:val="Normal"/>
    <w:link w:val="FooterChar"/>
    <w:uiPriority w:val="99"/>
    <w:unhideWhenUsed/>
    <w:rsid w:val="00525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47E"/>
  </w:style>
  <w:style w:type="character" w:styleId="Hyperlink">
    <w:name w:val="Hyperlink"/>
    <w:basedOn w:val="DefaultParagraphFont"/>
    <w:uiPriority w:val="99"/>
    <w:unhideWhenUsed/>
    <w:rsid w:val="001605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4239%2Fwjd.v7.i12.24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x.doi.org/10.1007%2Fs00394-012-0380-y"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ho.int/dietphysicalactivity/publications/trs916/summary/en/" TargetMode="External"/><Relationship Id="rId4" Type="http://schemas.openxmlformats.org/officeDocument/2006/relationships/webSettings" Target="webSettings.xml"/><Relationship Id="rId9" Type="http://schemas.openxmlformats.org/officeDocument/2006/relationships/hyperlink" Target="https://nyulangone.org/conditions/osteoporosis-low-bone-mass-in-adults/treatments/lifestyle-changes-for-osteoporosis-low-bone-ma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2019-05-17T08:32:00Z</dcterms:created>
  <dcterms:modified xsi:type="dcterms:W3CDTF">2019-05-17T10:29:00Z</dcterms:modified>
</cp:coreProperties>
</file>